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3AC782">
      <w:pPr>
        <w:widowControl/>
        <w:adjustRightInd w:val="0"/>
        <w:spacing w:beforeLines="50" w:afterLines="50"/>
        <w:ind w:right="482"/>
        <w:jc w:val="left"/>
        <w:rPr>
          <w:rFonts w:hint="eastAsia" w:ascii="黑体" w:hAnsi="黑体" w:eastAsia="黑体" w:cs="宋体"/>
          <w:bCs/>
          <w:kern w:val="0"/>
          <w:sz w:val="32"/>
          <w:szCs w:val="32"/>
        </w:rPr>
      </w:pPr>
      <w:bookmarkStart w:id="0" w:name="_GoBack"/>
      <w:r>
        <w:rPr>
          <w:rFonts w:hint="eastAsia" w:ascii="黑体" w:hAnsi="黑体" w:eastAsia="黑体" w:cs="宋体"/>
          <w:bCs/>
          <w:kern w:val="0"/>
          <w:sz w:val="32"/>
          <w:szCs w:val="32"/>
        </w:rPr>
        <w:t>附件1</w:t>
      </w:r>
    </w:p>
    <w:p w14:paraId="212E7925">
      <w:pPr>
        <w:widowControl/>
        <w:adjustRightInd w:val="0"/>
        <w:spacing w:beforeLines="50" w:afterLines="50"/>
        <w:ind w:right="482"/>
        <w:jc w:val="center"/>
        <w:rPr>
          <w:rFonts w:hint="eastAsia" w:ascii="黑体" w:hAnsi="黑体" w:eastAsia="黑体" w:cs="宋体"/>
          <w:bCs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宋体"/>
          <w:bCs/>
          <w:kern w:val="0"/>
          <w:sz w:val="32"/>
          <w:szCs w:val="32"/>
          <w:lang w:eastAsia="zh-CN"/>
        </w:rPr>
        <w:t>知网知识平台简介</w:t>
      </w:r>
    </w:p>
    <w:bookmarkEnd w:id="0"/>
    <w:p w14:paraId="51F6047B">
      <w:pPr>
        <w:widowControl/>
        <w:numPr>
          <w:ilvl w:val="0"/>
          <w:numId w:val="1"/>
        </w:numPr>
        <w:spacing w:line="276" w:lineRule="auto"/>
        <w:jc w:val="left"/>
        <w:rPr>
          <w:rFonts w:hint="eastAsia" w:ascii="仿宋_GB2312" w:hAnsi="仿宋" w:eastAsia="仿宋_GB2312" w:cs="Times New Roman"/>
          <w:b/>
          <w:kern w:val="0"/>
          <w:sz w:val="28"/>
          <w:szCs w:val="28"/>
        </w:rPr>
      </w:pPr>
      <w:r>
        <w:rPr>
          <w:rFonts w:hint="eastAsia" w:ascii="仿宋_GB2312" w:hAnsi="仿宋" w:eastAsia="仿宋_GB2312" w:cs="Times New Roman"/>
          <w:b/>
          <w:kern w:val="0"/>
          <w:sz w:val="28"/>
          <w:szCs w:val="28"/>
        </w:rPr>
        <w:t>《</w:t>
      </w:r>
      <w:r>
        <w:rPr>
          <w:rFonts w:hint="eastAsia" w:ascii="仿宋_GB2312" w:hAnsi="仿宋" w:eastAsia="仿宋_GB2312" w:cs="Times New Roman"/>
          <w:b/>
          <w:bCs/>
          <w:kern w:val="0"/>
          <w:sz w:val="28"/>
          <w:szCs w:val="28"/>
          <w:lang w:eastAsia="zh-CN"/>
        </w:rPr>
        <w:t>中国城市规划知识仓库</w:t>
      </w:r>
      <w:r>
        <w:rPr>
          <w:rFonts w:hint="eastAsia" w:ascii="仿宋_GB2312" w:hAnsi="仿宋" w:eastAsia="仿宋_GB2312" w:cs="Times New Roman"/>
          <w:b/>
          <w:kern w:val="0"/>
          <w:sz w:val="28"/>
          <w:szCs w:val="28"/>
        </w:rPr>
        <w:t>》</w:t>
      </w:r>
    </w:p>
    <w:p w14:paraId="01EEBFFE">
      <w:pPr>
        <w:widowControl/>
        <w:numPr>
          <w:ilvl w:val="0"/>
          <w:numId w:val="0"/>
        </w:numPr>
        <w:spacing w:line="276" w:lineRule="auto"/>
        <w:jc w:val="left"/>
        <w:rPr>
          <w:rFonts w:hint="eastAsia" w:ascii="仿宋_GB2312" w:hAnsi="仿宋" w:eastAsia="仿宋_GB2312" w:cs="Times New Roman"/>
          <w:b w:val="0"/>
          <w:bCs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 w:cs="Times New Roman"/>
          <w:b w:val="0"/>
          <w:bCs/>
          <w:kern w:val="0"/>
          <w:sz w:val="28"/>
          <w:szCs w:val="28"/>
          <w:lang w:val="en-US" w:eastAsia="zh-CN"/>
        </w:rPr>
        <w:t>网址kc.cnki.net/ccpt/</w:t>
      </w:r>
    </w:p>
    <w:p w14:paraId="27EFD91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76" w:lineRule="auto"/>
        <w:ind w:firstLine="560" w:firstLineChars="200"/>
        <w:jc w:val="left"/>
        <w:textAlignment w:val="auto"/>
        <w:rPr>
          <w:rFonts w:hint="eastAsia" w:ascii="仿宋_GB2312" w:hAnsi="仿宋" w:eastAsia="仿宋_GB2312" w:cs="Times New Roman"/>
          <w:kern w:val="0"/>
          <w:sz w:val="28"/>
          <w:szCs w:val="28"/>
          <w:lang w:eastAsia="zh-CN"/>
        </w:rPr>
      </w:pPr>
      <w:r>
        <w:rPr>
          <w:rFonts w:hint="eastAsia" w:ascii="仿宋_GB2312" w:hAnsi="仿宋" w:eastAsia="仿宋_GB2312" w:cs="Times New Roman"/>
          <w:kern w:val="0"/>
          <w:sz w:val="28"/>
          <w:szCs w:val="28"/>
          <w:lang w:eastAsia="zh-CN"/>
        </w:rPr>
        <w:t>《中国城市规划知识仓库》主要服务于城乡规划设计研究院、规划编制中心等，涵盖政策、法规、标准、专利、科技成果、新案例、规划专家、前沿动态等内容，将先进规划经验、规划专家的研究综合整理，更好为规划行业提供服务，是高效快速解决规划业务相关问题的专业化知识仓库。</w:t>
      </w:r>
    </w:p>
    <w:p w14:paraId="3E6F09C0">
      <w:pPr>
        <w:widowControl/>
        <w:numPr>
          <w:ilvl w:val="0"/>
          <w:numId w:val="1"/>
        </w:numPr>
        <w:spacing w:line="276" w:lineRule="auto"/>
        <w:jc w:val="left"/>
        <w:rPr>
          <w:rFonts w:hint="eastAsia" w:ascii="仿宋_GB2312" w:hAnsi="仿宋" w:eastAsia="仿宋_GB2312" w:cs="Times New Roman"/>
          <w:b/>
          <w:kern w:val="0"/>
          <w:sz w:val="28"/>
          <w:szCs w:val="28"/>
        </w:rPr>
      </w:pPr>
      <w:r>
        <w:rPr>
          <w:rFonts w:hint="eastAsia" w:ascii="仿宋_GB2312" w:hAnsi="仿宋" w:eastAsia="仿宋_GB2312" w:cs="Times New Roman"/>
          <w:b/>
          <w:kern w:val="0"/>
          <w:sz w:val="28"/>
          <w:szCs w:val="28"/>
          <w:lang w:eastAsia="zh-CN"/>
        </w:rPr>
        <w:t>《</w:t>
      </w:r>
      <w:r>
        <w:rPr>
          <w:rFonts w:hint="eastAsia" w:ascii="仿宋_GB2312" w:hAnsi="仿宋" w:eastAsia="仿宋_GB2312" w:cs="Times New Roman"/>
          <w:b/>
          <w:bCs/>
          <w:kern w:val="0"/>
          <w:sz w:val="28"/>
          <w:szCs w:val="28"/>
          <w:lang w:eastAsia="zh-CN"/>
        </w:rPr>
        <w:t>城乡规划领导决策信息服务平台</w:t>
      </w:r>
      <w:r>
        <w:rPr>
          <w:rFonts w:hint="eastAsia" w:ascii="仿宋_GB2312" w:hAnsi="仿宋" w:eastAsia="仿宋_GB2312" w:cs="Times New Roman"/>
          <w:b/>
          <w:kern w:val="0"/>
          <w:sz w:val="28"/>
          <w:szCs w:val="28"/>
          <w:lang w:val="en-US" w:eastAsia="zh-CN"/>
        </w:rPr>
        <w:t>》</w:t>
      </w:r>
    </w:p>
    <w:p w14:paraId="37DE7693">
      <w:pPr>
        <w:widowControl/>
        <w:numPr>
          <w:ilvl w:val="0"/>
          <w:numId w:val="0"/>
        </w:numPr>
        <w:spacing w:line="276" w:lineRule="auto"/>
        <w:jc w:val="left"/>
        <w:rPr>
          <w:rFonts w:hint="eastAsia" w:ascii="仿宋_GB2312" w:hAnsi="仿宋" w:eastAsia="仿宋_GB2312" w:cs="Times New Roman"/>
          <w:b w:val="0"/>
          <w:bCs/>
          <w:kern w:val="0"/>
          <w:sz w:val="28"/>
          <w:szCs w:val="28"/>
        </w:rPr>
      </w:pPr>
      <w:r>
        <w:rPr>
          <w:rFonts w:hint="eastAsia" w:ascii="仿宋_GB2312" w:hAnsi="仿宋" w:eastAsia="仿宋_GB2312" w:cs="Times New Roman"/>
          <w:b w:val="0"/>
          <w:bCs/>
          <w:kern w:val="0"/>
          <w:sz w:val="28"/>
          <w:szCs w:val="28"/>
          <w:lang w:val="en-US" w:eastAsia="zh-CN"/>
        </w:rPr>
        <w:t>网址kc.cnki.net/cxgh/</w:t>
      </w:r>
    </w:p>
    <w:p w14:paraId="4DF82AF2">
      <w:r>
        <w:rPr>
          <w:rFonts w:hint="eastAsia" w:ascii="仿宋_GB2312" w:hAnsi="仿宋" w:eastAsia="仿宋_GB2312" w:cs="Times New Roman"/>
          <w:kern w:val="0"/>
          <w:sz w:val="28"/>
          <w:szCs w:val="28"/>
          <w:lang w:eastAsia="zh-CN"/>
        </w:rPr>
        <w:t>《城乡规划领导决策信息服务平台》面向城乡规划、国土空间规划管理机构，内容涵盖国土空间规划相关政策法规、期刊、学位论文、会议论文、标准规范、科技成果、年鉴、工具书等知识资源，设计了城市地图、智慧城市、人居环境、生态城市等专题，全面、系统、准确、及时地为自然资源和规划局制定行业法律、规章、方针、政策提供参考；为城市规划的编制工作提供依据；为科研工作的指导提供方向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E2B001"/>
    <w:multiLevelType w:val="singleLevel"/>
    <w:tmpl w:val="0CE2B00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